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9" w:rsidRDefault="00FF1A89"/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br/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A2550C" w:rsidRPr="00A2550C" w:rsidRDefault="00A2550C" w:rsidP="00A2550C">
      <w:pPr>
        <w:shd w:val="clear" w:color="auto" w:fill="F2EBE3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252728"/>
          <w:sz w:val="40"/>
          <w:szCs w:val="40"/>
          <w:lang w:eastAsia="ru-RU"/>
        </w:rPr>
      </w:pPr>
      <w:r w:rsidRPr="00A2550C">
        <w:rPr>
          <w:rFonts w:ascii="Arial" w:eastAsia="Times New Roman" w:hAnsi="Arial" w:cs="Arial"/>
          <w:color w:val="252728"/>
          <w:sz w:val="40"/>
          <w:szCs w:val="40"/>
          <w:lang w:eastAsia="ru-RU"/>
        </w:rPr>
        <w:t>План работы</w:t>
      </w:r>
    </w:p>
    <w:p w:rsidR="00A2550C" w:rsidRPr="00A2550C" w:rsidRDefault="00A2550C" w:rsidP="00A2550C">
      <w:pPr>
        <w:shd w:val="clear" w:color="auto" w:fill="F2EBE3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252728"/>
          <w:sz w:val="40"/>
          <w:szCs w:val="40"/>
          <w:lang w:eastAsia="ru-RU"/>
        </w:rPr>
      </w:pPr>
      <w:r w:rsidRPr="00A2550C">
        <w:rPr>
          <w:rFonts w:ascii="Arial" w:eastAsia="Times New Roman" w:hAnsi="Arial" w:cs="Arial"/>
          <w:color w:val="252728"/>
          <w:sz w:val="40"/>
          <w:szCs w:val="40"/>
          <w:lang w:eastAsia="ru-RU"/>
        </w:rPr>
        <w:t>педагога-психолога</w:t>
      </w:r>
    </w:p>
    <w:p w:rsidR="00B804B4" w:rsidRPr="00A2550C" w:rsidRDefault="00A2550C" w:rsidP="00A2550C">
      <w:pPr>
        <w:shd w:val="clear" w:color="auto" w:fill="F2EBE3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252728"/>
          <w:sz w:val="40"/>
          <w:szCs w:val="40"/>
          <w:lang w:eastAsia="ru-RU"/>
        </w:rPr>
      </w:pPr>
      <w:r w:rsidRPr="00A2550C">
        <w:rPr>
          <w:rFonts w:ascii="Arial" w:eastAsia="Times New Roman" w:hAnsi="Arial" w:cs="Arial"/>
          <w:color w:val="252728"/>
          <w:sz w:val="40"/>
          <w:szCs w:val="40"/>
          <w:lang w:eastAsia="ru-RU"/>
        </w:rPr>
        <w:t>на 201</w:t>
      </w:r>
      <w:r w:rsidR="00D06FA1">
        <w:rPr>
          <w:rFonts w:ascii="Arial" w:eastAsia="Times New Roman" w:hAnsi="Arial" w:cs="Arial"/>
          <w:color w:val="252728"/>
          <w:sz w:val="40"/>
          <w:szCs w:val="40"/>
          <w:lang w:eastAsia="ru-RU"/>
        </w:rPr>
        <w:t>9-2020</w:t>
      </w:r>
      <w:bookmarkStart w:id="0" w:name="_GoBack"/>
      <w:bookmarkEnd w:id="0"/>
      <w:r w:rsidRPr="00A2550C">
        <w:rPr>
          <w:rFonts w:ascii="Arial" w:eastAsia="Times New Roman" w:hAnsi="Arial" w:cs="Arial"/>
          <w:color w:val="252728"/>
          <w:sz w:val="40"/>
          <w:szCs w:val="40"/>
          <w:lang w:eastAsia="ru-RU"/>
        </w:rPr>
        <w:t xml:space="preserve"> уч. год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i/>
          <w:iCs/>
          <w:color w:val="252728"/>
          <w:sz w:val="20"/>
          <w:szCs w:val="20"/>
          <w:lang w:eastAsia="ru-RU"/>
        </w:rPr>
        <w:t> </w:t>
      </w: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A2550C" w:rsidRDefault="00A2550C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</w:pP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lastRenderedPageBreak/>
        <w:t>Цель деятельности:</w:t>
      </w: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психолого-педагогическое сопровождение субъектов образовательного процесса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i/>
          <w:iCs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Задачи: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Содействие личностному и интеллектуальному развитию обучающихся на каждом возрастном этапе.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B804B4" w:rsidRPr="00B804B4" w:rsidRDefault="00B804B4" w:rsidP="00B804B4">
      <w:pPr>
        <w:numPr>
          <w:ilvl w:val="0"/>
          <w:numId w:val="1"/>
        </w:numPr>
        <w:shd w:val="clear" w:color="auto" w:fill="F2EBE3"/>
        <w:spacing w:before="45" w:after="0" w:line="240" w:lineRule="auto"/>
        <w:ind w:left="330"/>
        <w:textAlignment w:val="top"/>
        <w:rPr>
          <w:rFonts w:ascii="Arial" w:eastAsia="Times New Roman" w:hAnsi="Arial" w:cs="Arial"/>
          <w:color w:val="383B3D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383B3D"/>
          <w:sz w:val="20"/>
          <w:szCs w:val="20"/>
          <w:lang w:eastAsia="ru-RU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I  Организационно-методическая работа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717"/>
        <w:gridCol w:w="2000"/>
        <w:gridCol w:w="2955"/>
      </w:tblGrid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результат. Примечание.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(1-15)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Согласованность работы разных специалистов и администрации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информационного стенда по социально-психологической службе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30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01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на стенде для родителей и обучающихся.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проведении М/О классных руководителей: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«Особенности адаптационного периода у детей 1-х классов. Рекомендации классным руководителям по оказанию помощи детям с низким уровнем адаптации» (М/О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рук. Нач.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рук. 5-8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«Проблема профессионального самоопределения» (М/О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рук. 9-11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 школьных методических объединений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работе РМО 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профессиональной компетенции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B804B4" w:rsidRPr="00B804B4" w:rsidTr="00B804B4">
        <w:tc>
          <w:tcPr>
            <w:tcW w:w="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пособий к занятиям. Оборудование кабинета.</w:t>
            </w:r>
          </w:p>
        </w:tc>
        <w:tc>
          <w:tcPr>
            <w:tcW w:w="10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II Диагностическая работа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764"/>
        <w:gridCol w:w="1905"/>
        <w:gridCol w:w="1429"/>
        <w:gridCol w:w="2669"/>
      </w:tblGrid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результат. Примечание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Керна-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Йерасика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«Графический диктант»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1-х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Прослеживание хода адаптации учащихся 5-х классов: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школьной тревожности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Филлипса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Социометрия;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САН;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5-х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дезадаптированных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уровня школьной мотивации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2-3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причин низкой мотивации. Индивидуальное консультирование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руководителей и родителей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Прослеживание хода адаптации учащихся 10 класса и 11 классов (вновь прибывших в школу)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школьной тревожности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Филлипса</w:t>
            </w:r>
            <w:proofErr w:type="spellEnd"/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Социометрия</w:t>
            </w:r>
          </w:p>
          <w:p w:rsidR="00B804B4" w:rsidRPr="00B804B4" w:rsidRDefault="00301951" w:rsidP="00301951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уровня школьной мотивации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10-11 класс</w:t>
            </w:r>
          </w:p>
          <w:p w:rsidR="00301951" w:rsidRDefault="00301951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951" w:rsidRDefault="00301951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951" w:rsidRDefault="00301951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951" w:rsidRDefault="00301951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951" w:rsidRPr="00B804B4" w:rsidRDefault="00301951" w:rsidP="0030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дезадаптированных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детей. Выявление причин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Выработка рекомендаций классным руководителям.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30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Учащиеся </w:t>
            </w:r>
            <w:r w:rsidR="00301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4-х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301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тестов на выявление характерологических особенностей детей</w:t>
            </w:r>
            <w:r w:rsidR="00301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9-х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учащимся в профессиональном самоопределении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уровня школьной мотивации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1-х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школы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Сентябрь-апрель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запросам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руководителей, родителей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Способные и одаренные учащиеся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10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группы риска</w:t>
            </w:r>
          </w:p>
        </w:tc>
        <w:tc>
          <w:tcPr>
            <w:tcW w:w="7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lastRenderedPageBreak/>
        <w:t>  III Коррекционно-развивающая работа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648"/>
        <w:gridCol w:w="2009"/>
        <w:gridCol w:w="1241"/>
        <w:gridCol w:w="2877"/>
      </w:tblGrid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1-е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1-6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5-е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Групповые занятия с обучающимися </w:t>
            </w:r>
            <w:r w:rsidR="00301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</w:t>
            </w: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11-х классов по подготовке к ЕГЭ «Путь к успеху»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301951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</w:t>
            </w:r>
            <w:r w:rsidR="00B804B4"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11-е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стрессоустойчивости и уверенности в себе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«»Жизненные навыки\уроки психологии в начальной школе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301951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классыа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жизненных навыков для социализации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Цикл занятий «Приключение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карапушек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...»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 четверти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толерантности.</w:t>
            </w:r>
          </w:p>
        </w:tc>
      </w:tr>
      <w:tr w:rsidR="00B804B4" w:rsidRPr="00B804B4" w:rsidTr="00CB22CB">
        <w:tc>
          <w:tcPr>
            <w:tcW w:w="30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Цикл занятий по развитию памяти, мелкой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моторики</w:t>
            </w:r>
            <w:r w:rsidR="00CB2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,коммуникативных</w:t>
            </w:r>
            <w:proofErr w:type="spellEnd"/>
            <w:r w:rsidR="00CB2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навыков.</w:t>
            </w:r>
          </w:p>
        </w:tc>
        <w:tc>
          <w:tcPr>
            <w:tcW w:w="107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2-е классы</w:t>
            </w:r>
          </w:p>
        </w:tc>
        <w:tc>
          <w:tcPr>
            <w:tcW w:w="66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</w:tbl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IV Профилактическая работа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610"/>
        <w:gridCol w:w="2018"/>
        <w:gridCol w:w="1442"/>
        <w:gridCol w:w="2693"/>
      </w:tblGrid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 5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  неуспевающих детей Индивидуальная помощь детям.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«Привычки и здоровье». Беседа о ЗОЖ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5-е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полезных привычек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СПИД и ВИЧ инфекций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Месячник по профилактике зависимостей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обучающимся в самоопределении своих возможностей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недели психологии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5-8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адекватной самооценки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заседаниях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ПМПк</w:t>
            </w:r>
            <w:proofErr w:type="spellEnd"/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другими специалистами школы по оказанию инд. помощи учащимся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Советах профилактики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B804B4" w:rsidRPr="00B804B4" w:rsidTr="00A2550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психологии (по утвержденному плану)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7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4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психологической компетентности учащихся и учителей школы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V Консультативная и просветительская работа</w:t>
      </w:r>
    </w:p>
    <w:p w:rsidR="00B804B4" w:rsidRPr="00B804B4" w:rsidRDefault="00B804B4" w:rsidP="00B804B4">
      <w:pPr>
        <w:shd w:val="clear" w:color="auto" w:fill="F2EBE3"/>
        <w:spacing w:before="180" w:after="180" w:line="240" w:lineRule="auto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695"/>
        <w:gridCol w:w="2215"/>
        <w:gridCol w:w="1251"/>
        <w:gridCol w:w="2600"/>
      </w:tblGrid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Родительский лекторий «Особенности адаптации первоклассников к школе. Помощь родителей в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 учащихся 1-х классов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 учащихся 5-х классов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6-е классы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Просвещение младших подростков о вреде курения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запросу классных руководителей)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 учащихся 2-х,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3-х классов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7-е классы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ответственности детей за свою жизнь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 «Мы выбираем будущую профессию»</w:t>
            </w:r>
          </w:p>
          <w:p w:rsidR="00B804B4" w:rsidRPr="00B804B4" w:rsidRDefault="00B804B4" w:rsidP="00B804B4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 классы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с элементами тренинга «Познай себя и окружающих»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10-е классы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Родительский лекторий «Помощь родителей в профессиональном самоопределении учащихся» (по запросу </w:t>
            </w:r>
            <w:proofErr w:type="spellStart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руководителей)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 9-11 классов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2-11 классы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Психологическая поддержка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 учащихся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Психологическая поддержка</w:t>
            </w:r>
          </w:p>
        </w:tc>
      </w:tr>
      <w:tr w:rsidR="00B804B4" w:rsidRPr="00B804B4" w:rsidTr="00B804B4">
        <w:tc>
          <w:tcPr>
            <w:tcW w:w="3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1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Учителя. Кл. руководители. Администрация</w:t>
            </w:r>
          </w:p>
        </w:tc>
        <w:tc>
          <w:tcPr>
            <w:tcW w:w="6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04B4" w:rsidRPr="00B804B4" w:rsidRDefault="00B804B4" w:rsidP="00B804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04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Психологическая поддержка</w:t>
            </w:r>
          </w:p>
        </w:tc>
      </w:tr>
    </w:tbl>
    <w:p w:rsidR="00B804B4" w:rsidRPr="00B804B4" w:rsidRDefault="00B804B4" w:rsidP="00A2550C">
      <w:pPr>
        <w:shd w:val="clear" w:color="auto" w:fill="F2EBE3"/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B804B4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</w:t>
      </w:r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Педагог-психолог______/</w:t>
      </w:r>
      <w:proofErr w:type="spellStart"/>
      <w:r w:rsidR="00A2550C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М.Н.Хмельницкая</w:t>
      </w:r>
      <w:proofErr w:type="spellEnd"/>
      <w:r w:rsidRPr="00B804B4">
        <w:rPr>
          <w:rFonts w:ascii="Arial" w:eastAsia="Times New Roman" w:hAnsi="Arial" w:cs="Arial"/>
          <w:color w:val="252728"/>
          <w:sz w:val="20"/>
          <w:szCs w:val="20"/>
          <w:lang w:eastAsia="ru-RU"/>
        </w:rPr>
        <w:t>/</w:t>
      </w:r>
    </w:p>
    <w:sectPr w:rsidR="00B804B4" w:rsidRPr="00B8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127E"/>
    <w:multiLevelType w:val="multilevel"/>
    <w:tmpl w:val="379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D4FC9"/>
    <w:multiLevelType w:val="multilevel"/>
    <w:tmpl w:val="33E4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B4"/>
    <w:rsid w:val="001D6A41"/>
    <w:rsid w:val="00301951"/>
    <w:rsid w:val="00973E63"/>
    <w:rsid w:val="00A2550C"/>
    <w:rsid w:val="00A50226"/>
    <w:rsid w:val="00B804B4"/>
    <w:rsid w:val="00CB22CB"/>
    <w:rsid w:val="00D06FA1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386E"/>
  <w15:docId w15:val="{A2BFE84B-60A5-4B40-B17D-C4F21A2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9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3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1210">
                          <w:marLeft w:val="-3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7352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8241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046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D8EE-BDF9-4C40-BEF7-FA4BFB50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Хмельницкие</dc:creator>
  <cp:lastModifiedBy>User</cp:lastModifiedBy>
  <cp:revision>2</cp:revision>
  <dcterms:created xsi:type="dcterms:W3CDTF">2019-10-29T12:40:00Z</dcterms:created>
  <dcterms:modified xsi:type="dcterms:W3CDTF">2019-10-29T12:40:00Z</dcterms:modified>
</cp:coreProperties>
</file>